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3C33ED" w:rsidRDefault="003C33ED" w:rsidP="003410E1">
      <w:pPr>
        <w:jc w:val="center"/>
        <w:rPr>
          <w:rFonts w:cstheme="minorHAnsi"/>
          <w:b/>
          <w:sz w:val="24"/>
          <w:szCs w:val="24"/>
          <w:u w:val="single"/>
        </w:rPr>
      </w:pPr>
    </w:p>
    <w:p w:rsidR="006B4CD6" w:rsidRPr="00C8555B" w:rsidRDefault="005C0CAF" w:rsidP="006B4CD6">
      <w:pPr>
        <w:spacing w:after="0"/>
        <w:jc w:val="center"/>
        <w:rPr>
          <w:rFonts w:cstheme="minorHAnsi"/>
          <w:b/>
          <w:color w:val="002060"/>
          <w:sz w:val="28"/>
          <w:szCs w:val="28"/>
          <w:u w:val="single"/>
        </w:rPr>
      </w:pPr>
      <w:r>
        <w:rPr>
          <w:rFonts w:cstheme="minorHAnsi"/>
          <w:b/>
          <w:color w:val="002060"/>
          <w:sz w:val="28"/>
          <w:szCs w:val="28"/>
          <w:u w:val="single"/>
        </w:rPr>
        <w:t>BEN-</w:t>
      </w:r>
      <w:r w:rsidR="00C8555B" w:rsidRPr="00C8555B">
        <w:rPr>
          <w:rFonts w:cstheme="minorHAnsi"/>
          <w:b/>
          <w:color w:val="002060"/>
          <w:sz w:val="28"/>
          <w:szCs w:val="28"/>
          <w:u w:val="single"/>
        </w:rPr>
        <w:t>1</w:t>
      </w:r>
      <w:r w:rsidR="00717558" w:rsidRPr="00C8555B">
        <w:rPr>
          <w:rFonts w:cstheme="minorHAnsi"/>
          <w:b/>
          <w:color w:val="002060"/>
          <w:sz w:val="28"/>
          <w:szCs w:val="28"/>
          <w:u w:val="single"/>
        </w:rPr>
        <w:t xml:space="preserve"> </w:t>
      </w:r>
    </w:p>
    <w:p w:rsidR="00C6081A" w:rsidRDefault="00C6081A" w:rsidP="006B4CD6">
      <w:pPr>
        <w:spacing w:after="0"/>
        <w:jc w:val="center"/>
        <w:rPr>
          <w:rFonts w:cstheme="minorHAnsi"/>
          <w:b/>
          <w:color w:val="002060"/>
          <w:u w:val="single"/>
        </w:rPr>
      </w:pPr>
      <w:r w:rsidRPr="005C0CAF">
        <w:rPr>
          <w:rFonts w:cstheme="minorHAnsi"/>
          <w:b/>
          <w:color w:val="002060"/>
          <w:u w:val="single"/>
        </w:rPr>
        <w:t>(</w:t>
      </w:r>
      <w:r w:rsidR="005C0CAF" w:rsidRPr="005C0CAF">
        <w:rPr>
          <w:rFonts w:cstheme="minorHAnsi"/>
          <w:b/>
          <w:color w:val="002060"/>
          <w:u w:val="single"/>
        </w:rPr>
        <w:t>Declaration by the beneficial owner who holds or acquires significant beneficial ownership in shares</w:t>
      </w:r>
      <w:r w:rsidRPr="005C0CAF">
        <w:rPr>
          <w:rFonts w:cstheme="minorHAnsi"/>
          <w:b/>
          <w:color w:val="002060"/>
          <w:u w:val="single"/>
        </w:rPr>
        <w:t>)</w:t>
      </w:r>
    </w:p>
    <w:p w:rsidR="000D247D" w:rsidRPr="00C44A04" w:rsidRDefault="000D247D" w:rsidP="006B4CD6">
      <w:pPr>
        <w:spacing w:after="0"/>
        <w:jc w:val="center"/>
        <w:rPr>
          <w:rFonts w:cstheme="minorHAnsi"/>
          <w:b/>
          <w:color w:val="002060"/>
        </w:rPr>
      </w:pPr>
      <w:r w:rsidRPr="00C44A04">
        <w:rPr>
          <w:rFonts w:cstheme="minorHAnsi"/>
          <w:b/>
          <w:color w:val="002060"/>
        </w:rPr>
        <w:t>&amp;</w:t>
      </w:r>
    </w:p>
    <w:p w:rsidR="000D247D" w:rsidRPr="00C8555B" w:rsidRDefault="000D247D" w:rsidP="000D247D">
      <w:pPr>
        <w:spacing w:after="0"/>
        <w:jc w:val="center"/>
        <w:rPr>
          <w:rFonts w:cstheme="minorHAnsi"/>
          <w:b/>
          <w:color w:val="002060"/>
          <w:sz w:val="28"/>
          <w:szCs w:val="28"/>
          <w:u w:val="single"/>
        </w:rPr>
      </w:pPr>
      <w:r>
        <w:rPr>
          <w:rFonts w:cstheme="minorHAnsi"/>
          <w:b/>
          <w:color w:val="002060"/>
          <w:sz w:val="28"/>
          <w:szCs w:val="28"/>
          <w:u w:val="single"/>
        </w:rPr>
        <w:t>BEN-2</w:t>
      </w:r>
      <w:r w:rsidRPr="00C8555B">
        <w:rPr>
          <w:rFonts w:cstheme="minorHAnsi"/>
          <w:b/>
          <w:color w:val="002060"/>
          <w:sz w:val="28"/>
          <w:szCs w:val="28"/>
          <w:u w:val="single"/>
        </w:rPr>
        <w:t xml:space="preserve"> </w:t>
      </w:r>
    </w:p>
    <w:p w:rsidR="000D247D" w:rsidRPr="005C0CAF" w:rsidRDefault="000D247D" w:rsidP="000D247D">
      <w:pPr>
        <w:spacing w:after="0"/>
        <w:jc w:val="center"/>
        <w:rPr>
          <w:rFonts w:cstheme="minorHAnsi"/>
          <w:b/>
          <w:color w:val="002060"/>
          <w:u w:val="single"/>
        </w:rPr>
      </w:pPr>
      <w:r w:rsidRPr="00C44A04">
        <w:rPr>
          <w:rFonts w:cstheme="minorHAnsi"/>
          <w:b/>
          <w:color w:val="002060"/>
          <w:u w:val="single"/>
        </w:rPr>
        <w:t>(Return to the Registrar in respect of declaration under section 90)</w:t>
      </w:r>
    </w:p>
    <w:p w:rsidR="00F61CAC" w:rsidRPr="00F61CAC" w:rsidRDefault="00F61CAC" w:rsidP="00F61CAC">
      <w:pPr>
        <w:spacing w:after="120"/>
        <w:rPr>
          <w:rFonts w:cstheme="minorHAnsi"/>
          <w:b/>
          <w:u w:val="single"/>
        </w:rPr>
      </w:pPr>
    </w:p>
    <w:p w:rsidR="00F61CAC" w:rsidRPr="00F61CAC" w:rsidRDefault="00F61CAC" w:rsidP="00F61CAC">
      <w:pPr>
        <w:spacing w:after="120"/>
        <w:rPr>
          <w:rFonts w:cstheme="minorHAnsi"/>
          <w:b/>
          <w:u w:val="single"/>
        </w:rPr>
      </w:pPr>
      <w:r w:rsidRPr="00F61CAC">
        <w:rPr>
          <w:rFonts w:cstheme="minorHAnsi"/>
          <w:b/>
          <w:u w:val="single"/>
        </w:rPr>
        <w:t xml:space="preserve">Source: </w:t>
      </w:r>
    </w:p>
    <w:p w:rsidR="00844463" w:rsidRPr="002008F4" w:rsidRDefault="00F61CAC" w:rsidP="00F61CAC">
      <w:pPr>
        <w:jc w:val="both"/>
        <w:rPr>
          <w:rFonts w:cstheme="minorHAnsi"/>
        </w:rPr>
      </w:pPr>
      <w:r w:rsidRPr="00F61CAC">
        <w:rPr>
          <w:rFonts w:cstheme="minorHAnsi"/>
        </w:rPr>
        <w:t xml:space="preserve">MCA </w:t>
      </w:r>
      <w:r w:rsidR="005C0CAF">
        <w:rPr>
          <w:rFonts w:cstheme="minorHAnsi"/>
        </w:rPr>
        <w:t>amendment rules i.e.</w:t>
      </w:r>
      <w:r w:rsidRPr="00F61CAC">
        <w:rPr>
          <w:rFonts w:cstheme="minorHAnsi"/>
        </w:rPr>
        <w:t xml:space="preserve"> </w:t>
      </w:r>
      <w:r w:rsidR="005C0CAF" w:rsidRPr="005C0CAF">
        <w:rPr>
          <w:u w:val="single"/>
        </w:rPr>
        <w:t>Companies (Significant Beneficial Owners) Amendment Rules, 2019</w:t>
      </w:r>
      <w:r w:rsidR="005C0CAF">
        <w:t xml:space="preserve"> </w:t>
      </w:r>
      <w:r w:rsidRPr="00F61CAC">
        <w:rPr>
          <w:rFonts w:cstheme="minorHAnsi"/>
        </w:rPr>
        <w:t xml:space="preserve">dated </w:t>
      </w:r>
      <w:r w:rsidR="005C0CAF">
        <w:rPr>
          <w:rFonts w:cstheme="minorHAnsi"/>
        </w:rPr>
        <w:t>08.02</w:t>
      </w:r>
      <w:r w:rsidRPr="00F61CAC">
        <w:rPr>
          <w:rFonts w:cstheme="minorHAnsi"/>
        </w:rPr>
        <w:t xml:space="preserve">.2019 which </w:t>
      </w:r>
      <w:r w:rsidR="009A1489" w:rsidRPr="00F61CAC">
        <w:rPr>
          <w:rFonts w:cstheme="minorHAnsi"/>
        </w:rPr>
        <w:t>is</w:t>
      </w:r>
      <w:r w:rsidRPr="00F61CAC">
        <w:rPr>
          <w:rFonts w:cstheme="minorHAnsi"/>
        </w:rPr>
        <w:t xml:space="preserve"> applicable w.e.f date of their publication in the Official Gazette.</w:t>
      </w:r>
    </w:p>
    <w:p w:rsidR="00844463" w:rsidRPr="00844463" w:rsidRDefault="00844463" w:rsidP="00F61CAC">
      <w:pPr>
        <w:jc w:val="both"/>
        <w:rPr>
          <w:rFonts w:cstheme="minorHAnsi"/>
          <w:b/>
          <w:u w:val="single"/>
        </w:rPr>
      </w:pPr>
      <w:r w:rsidRPr="00844463">
        <w:rPr>
          <w:rFonts w:cstheme="minorHAnsi"/>
          <w:b/>
          <w:u w:val="single"/>
        </w:rPr>
        <w:t>Link:</w:t>
      </w:r>
    </w:p>
    <w:p w:rsidR="00844463" w:rsidRPr="00844463" w:rsidRDefault="00B614BC" w:rsidP="00F61CAC">
      <w:pPr>
        <w:jc w:val="both"/>
        <w:rPr>
          <w:rFonts w:cstheme="minorHAnsi"/>
          <w:b/>
          <w:sz w:val="24"/>
          <w:szCs w:val="24"/>
        </w:rPr>
      </w:pPr>
      <w:hyperlink r:id="rId8" w:history="1">
        <w:r w:rsidR="00844463" w:rsidRPr="00844463">
          <w:rPr>
            <w:rStyle w:val="Hyperlink"/>
          </w:rPr>
          <w:t>Companies (Significant Beneficial Owners) Amendment Rules, 2019</w:t>
        </w:r>
      </w:hyperlink>
    </w:p>
    <w:p w:rsidR="00F61CAC" w:rsidRPr="00F61CAC" w:rsidRDefault="00F61CAC" w:rsidP="00F61CAC">
      <w:pPr>
        <w:spacing w:after="120"/>
        <w:rPr>
          <w:rFonts w:cstheme="minorHAnsi"/>
          <w:b/>
          <w:u w:val="single"/>
        </w:rPr>
      </w:pPr>
    </w:p>
    <w:p w:rsidR="00F61CAC" w:rsidRPr="00F61CAC" w:rsidRDefault="00C6081A" w:rsidP="00F61CAC">
      <w:pPr>
        <w:spacing w:after="120"/>
        <w:rPr>
          <w:rFonts w:cstheme="minorHAnsi"/>
          <w:b/>
          <w:u w:val="single"/>
        </w:rPr>
      </w:pPr>
      <w:r w:rsidRPr="00F61CAC">
        <w:rPr>
          <w:rFonts w:cstheme="minorHAnsi"/>
          <w:b/>
          <w:u w:val="single"/>
        </w:rPr>
        <w:t xml:space="preserve">Applicability: </w:t>
      </w:r>
    </w:p>
    <w:p w:rsidR="00F61CAC" w:rsidRPr="005C0CAF" w:rsidRDefault="005C0CAF" w:rsidP="003410E1">
      <w:pPr>
        <w:jc w:val="both"/>
        <w:rPr>
          <w:rFonts w:cstheme="minorHAnsi"/>
        </w:rPr>
      </w:pPr>
      <w:r w:rsidRPr="005C0CAF">
        <w:rPr>
          <w:rFonts w:cstheme="minorHAnsi"/>
        </w:rPr>
        <w:t>A person having significant beneficial own</w:t>
      </w:r>
      <w:r w:rsidR="00262F83">
        <w:rPr>
          <w:rFonts w:cstheme="minorHAnsi"/>
        </w:rPr>
        <w:t>er (SBO) shall file a declaration in F</w:t>
      </w:r>
      <w:r w:rsidRPr="005C0CAF">
        <w:rPr>
          <w:rFonts w:cstheme="minorHAnsi"/>
        </w:rPr>
        <w:t>orm BEN-1 to the reporting company</w:t>
      </w:r>
      <w:r w:rsidR="00F61CAC" w:rsidRPr="005C0CAF">
        <w:rPr>
          <w:rFonts w:cstheme="minorHAnsi"/>
        </w:rPr>
        <w:t>.</w:t>
      </w:r>
    </w:p>
    <w:p w:rsidR="005C0CAF" w:rsidRDefault="006055C4" w:rsidP="003410E1">
      <w:pPr>
        <w:jc w:val="both"/>
      </w:pPr>
      <w:r w:rsidRPr="005C0CAF">
        <w:rPr>
          <w:rFonts w:cstheme="minorHAnsi"/>
          <w:b/>
        </w:rPr>
        <w:t>“</w:t>
      </w:r>
      <w:r w:rsidR="005C0CAF" w:rsidRPr="005C0CAF">
        <w:rPr>
          <w:rFonts w:cstheme="minorHAnsi"/>
          <w:b/>
        </w:rPr>
        <w:t xml:space="preserve"> </w:t>
      </w:r>
      <w:r w:rsidR="005C0CAF" w:rsidRPr="005C0CAF">
        <w:rPr>
          <w:rFonts w:cstheme="minorHAnsi"/>
          <w:b/>
          <w:u w:val="single"/>
        </w:rPr>
        <w:t>Significant Beneficial Owner</w:t>
      </w:r>
      <w:r w:rsidR="00262F83">
        <w:rPr>
          <w:rFonts w:cstheme="minorHAnsi"/>
          <w:b/>
          <w:u w:val="single"/>
        </w:rPr>
        <w:t xml:space="preserve"> (SBO)</w:t>
      </w:r>
      <w:r w:rsidRPr="005C0CAF">
        <w:rPr>
          <w:rFonts w:cstheme="minorHAnsi"/>
          <w:b/>
        </w:rPr>
        <w:t>”</w:t>
      </w:r>
      <w:r w:rsidRPr="005C0CAF">
        <w:rPr>
          <w:rFonts w:cstheme="minorHAnsi"/>
        </w:rPr>
        <w:t xml:space="preserve"> means </w:t>
      </w:r>
      <w:r w:rsidR="005C0CAF" w:rsidRPr="005C0CAF">
        <w:t>in</w:t>
      </w:r>
      <w:r w:rsidR="005C0CAF">
        <w:t xml:space="preserve"> relation to a reporting company means an individual referred to in sub section (1) of section 90, who acting alone or together, or through one or more persons or trust, possesses one or more of the following </w:t>
      </w:r>
      <w:r w:rsidR="005C0CAF" w:rsidRPr="005C0CAF">
        <w:rPr>
          <w:u w:val="single"/>
        </w:rPr>
        <w:t>rights or entitlements</w:t>
      </w:r>
      <w:r w:rsidR="005C0CAF">
        <w:t xml:space="preserve"> in such reporting company, namely:- </w:t>
      </w:r>
    </w:p>
    <w:p w:rsidR="005C0CAF" w:rsidRDefault="005C0CAF" w:rsidP="005C0CAF">
      <w:pPr>
        <w:pStyle w:val="ListParagraph"/>
        <w:numPr>
          <w:ilvl w:val="0"/>
          <w:numId w:val="6"/>
        </w:numPr>
        <w:jc w:val="both"/>
      </w:pPr>
      <w:proofErr w:type="gramStart"/>
      <w:r>
        <w:t>holds</w:t>
      </w:r>
      <w:proofErr w:type="gramEnd"/>
      <w:r>
        <w:t xml:space="preserve"> indirectly, or together with any direct holdings, </w:t>
      </w:r>
      <w:r w:rsidRPr="005C0CAF">
        <w:rPr>
          <w:u w:val="single"/>
        </w:rPr>
        <w:t>not less than ten per cent. of the shares</w:t>
      </w:r>
      <w:r>
        <w:t xml:space="preserve">; </w:t>
      </w:r>
    </w:p>
    <w:p w:rsidR="005C0CAF" w:rsidRPr="005C0CAF" w:rsidRDefault="005C0CAF" w:rsidP="005C0CAF">
      <w:pPr>
        <w:pStyle w:val="ListParagraph"/>
        <w:numPr>
          <w:ilvl w:val="0"/>
          <w:numId w:val="6"/>
        </w:numPr>
        <w:jc w:val="both"/>
        <w:rPr>
          <w:rFonts w:cstheme="minorHAnsi"/>
          <w:u w:val="single"/>
        </w:rPr>
      </w:pPr>
      <w:proofErr w:type="gramStart"/>
      <w:r>
        <w:t>holds</w:t>
      </w:r>
      <w:proofErr w:type="gramEnd"/>
      <w:r>
        <w:t xml:space="preserve"> indirectly, or together with any direct holdings, </w:t>
      </w:r>
      <w:r w:rsidRPr="005C0CAF">
        <w:rPr>
          <w:u w:val="single"/>
        </w:rPr>
        <w:t>not less than ten per cent. of the voting rights in the shares</w:t>
      </w:r>
      <w:r>
        <w:t xml:space="preserve">; </w:t>
      </w:r>
    </w:p>
    <w:p w:rsidR="005C0CAF" w:rsidRPr="005C0CAF" w:rsidRDefault="005C0CAF" w:rsidP="005C0CAF">
      <w:pPr>
        <w:pStyle w:val="ListParagraph"/>
        <w:numPr>
          <w:ilvl w:val="0"/>
          <w:numId w:val="6"/>
        </w:numPr>
        <w:jc w:val="both"/>
        <w:rPr>
          <w:rFonts w:cstheme="minorHAnsi"/>
          <w:u w:val="single"/>
        </w:rPr>
      </w:pPr>
      <w:proofErr w:type="gramStart"/>
      <w:r>
        <w:t>has</w:t>
      </w:r>
      <w:proofErr w:type="gramEnd"/>
      <w:r>
        <w:t xml:space="preserve"> right to receive or participate in </w:t>
      </w:r>
      <w:r w:rsidRPr="005C0CAF">
        <w:rPr>
          <w:u w:val="single"/>
        </w:rPr>
        <w:t>not less than ten per cent. of the total distributable dividend</w:t>
      </w:r>
      <w:r>
        <w:t xml:space="preserve">, or any other distribution, in a financial year through indirect holdings alone, or together with any direct holdings; </w:t>
      </w:r>
    </w:p>
    <w:p w:rsidR="00E24179" w:rsidRPr="005C0CAF" w:rsidRDefault="005C0CAF" w:rsidP="005C0CAF">
      <w:pPr>
        <w:pStyle w:val="ListParagraph"/>
        <w:numPr>
          <w:ilvl w:val="0"/>
          <w:numId w:val="6"/>
        </w:numPr>
        <w:jc w:val="both"/>
        <w:rPr>
          <w:rFonts w:cstheme="minorHAnsi"/>
          <w:u w:val="single"/>
        </w:rPr>
      </w:pPr>
      <w:r>
        <w:t xml:space="preserve">has right to exercise, or actually exercises, significant influence or control, in any manner </w:t>
      </w:r>
      <w:r w:rsidRPr="005C0CAF">
        <w:rPr>
          <w:u w:val="single"/>
        </w:rPr>
        <w:t>other than through direct holdings</w:t>
      </w:r>
      <w:r>
        <w:t xml:space="preserve"> alone:</w:t>
      </w:r>
      <w:r w:rsidRPr="005C0CAF">
        <w:rPr>
          <w:rFonts w:cstheme="minorHAnsi"/>
          <w:u w:val="single"/>
        </w:rPr>
        <w:t xml:space="preserve">                </w:t>
      </w:r>
    </w:p>
    <w:p w:rsidR="00E24179" w:rsidRDefault="00E24179" w:rsidP="003410E1">
      <w:pPr>
        <w:jc w:val="both"/>
        <w:rPr>
          <w:rFonts w:cstheme="minorHAnsi"/>
        </w:rPr>
      </w:pPr>
    </w:p>
    <w:p w:rsidR="00F61CAC" w:rsidRPr="00F61CAC" w:rsidRDefault="00F61CAC" w:rsidP="00F61CAC">
      <w:pPr>
        <w:spacing w:after="120"/>
        <w:rPr>
          <w:rFonts w:cstheme="minorHAnsi"/>
          <w:b/>
          <w:u w:val="single"/>
        </w:rPr>
      </w:pPr>
      <w:r w:rsidRPr="00F61CAC">
        <w:rPr>
          <w:rFonts w:cstheme="minorHAnsi"/>
          <w:b/>
          <w:u w:val="single"/>
        </w:rPr>
        <w:t>Due Date</w:t>
      </w:r>
      <w:r w:rsidR="00C6081A" w:rsidRPr="00F61CAC">
        <w:rPr>
          <w:rFonts w:cstheme="minorHAnsi"/>
          <w:b/>
          <w:u w:val="single"/>
        </w:rPr>
        <w:t xml:space="preserve">: </w:t>
      </w:r>
    </w:p>
    <w:p w:rsidR="006055C4" w:rsidRDefault="005C0CAF" w:rsidP="003410E1">
      <w:pPr>
        <w:jc w:val="both"/>
        <w:rPr>
          <w:rFonts w:cstheme="minorHAnsi"/>
        </w:rPr>
      </w:pPr>
      <w:r w:rsidRPr="000D247D">
        <w:rPr>
          <w:rFonts w:cstheme="minorHAnsi"/>
          <w:u w:val="single"/>
        </w:rPr>
        <w:t>BEN-1</w:t>
      </w:r>
      <w:r w:rsidR="000D247D">
        <w:rPr>
          <w:rFonts w:cstheme="minorHAnsi"/>
        </w:rPr>
        <w:t xml:space="preserve"> (shall be file by SBO to Company)</w:t>
      </w:r>
      <w:r>
        <w:rPr>
          <w:rFonts w:cstheme="minorHAnsi"/>
        </w:rPr>
        <w:t xml:space="preserve">: Within 90 days from the date of notification i.e. on or before </w:t>
      </w:r>
      <w:r w:rsidRPr="005C0CAF">
        <w:rPr>
          <w:rFonts w:cstheme="minorHAnsi"/>
          <w:u w:val="single"/>
        </w:rPr>
        <w:t>08.05.2019</w:t>
      </w:r>
      <w:r>
        <w:rPr>
          <w:rFonts w:cstheme="minorHAnsi"/>
        </w:rPr>
        <w:t xml:space="preserve"> </w:t>
      </w:r>
    </w:p>
    <w:p w:rsidR="005C0CAF" w:rsidRDefault="005C0CAF" w:rsidP="003410E1">
      <w:pPr>
        <w:jc w:val="both"/>
        <w:rPr>
          <w:rFonts w:cstheme="minorHAnsi"/>
        </w:rPr>
      </w:pPr>
      <w:r w:rsidRPr="000D247D">
        <w:rPr>
          <w:rFonts w:cstheme="minorHAnsi"/>
          <w:u w:val="single"/>
        </w:rPr>
        <w:t>BEN-2</w:t>
      </w:r>
      <w:r w:rsidR="000D247D">
        <w:rPr>
          <w:rFonts w:cstheme="minorHAnsi"/>
        </w:rPr>
        <w:t xml:space="preserve"> (shall be file by Company to ROC)</w:t>
      </w:r>
      <w:r>
        <w:rPr>
          <w:rFonts w:cstheme="minorHAnsi"/>
        </w:rPr>
        <w:t xml:space="preserve">: </w:t>
      </w:r>
      <w:r>
        <w:t xml:space="preserve">Within </w:t>
      </w:r>
      <w:r w:rsidRPr="000D247D">
        <w:rPr>
          <w:u w:val="single"/>
        </w:rPr>
        <w:t>30 days from the date of receipt</w:t>
      </w:r>
      <w:r>
        <w:t xml:space="preserve"> of declaration in Form No. BEN-1</w:t>
      </w:r>
    </w:p>
    <w:p w:rsidR="005C0CAF" w:rsidRDefault="005C0CAF" w:rsidP="00F61CAC">
      <w:pPr>
        <w:rPr>
          <w:rFonts w:cstheme="minorHAnsi"/>
          <w:b/>
          <w:u w:val="single"/>
        </w:rPr>
      </w:pPr>
    </w:p>
    <w:p w:rsidR="007C559D" w:rsidRDefault="00F61CAC" w:rsidP="00F61CAC">
      <w:pPr>
        <w:rPr>
          <w:rFonts w:cstheme="minorHAnsi"/>
          <w:b/>
          <w:i/>
        </w:rPr>
      </w:pPr>
      <w:r w:rsidRPr="00F61CAC">
        <w:rPr>
          <w:rFonts w:cstheme="minorHAnsi"/>
          <w:b/>
          <w:i/>
          <w:u w:val="single"/>
        </w:rPr>
        <w:t>Remark</w:t>
      </w:r>
      <w:r w:rsidR="007C559D" w:rsidRPr="00F61CAC">
        <w:rPr>
          <w:rFonts w:cstheme="minorHAnsi"/>
          <w:b/>
          <w:i/>
          <w:u w:val="single"/>
        </w:rPr>
        <w:t>:</w:t>
      </w:r>
      <w:r w:rsidR="007C559D" w:rsidRPr="00F61CAC">
        <w:rPr>
          <w:rFonts w:cstheme="minorHAnsi"/>
          <w:b/>
          <w:i/>
        </w:rPr>
        <w:t xml:space="preserve"> Currently </w:t>
      </w:r>
      <w:r w:rsidR="007E3835">
        <w:rPr>
          <w:rFonts w:cstheme="minorHAnsi"/>
          <w:b/>
          <w:i/>
        </w:rPr>
        <w:t xml:space="preserve">Form </w:t>
      </w:r>
      <w:r w:rsidR="005C0CAF">
        <w:rPr>
          <w:rFonts w:cstheme="minorHAnsi"/>
          <w:b/>
          <w:i/>
        </w:rPr>
        <w:t>BEN</w:t>
      </w:r>
      <w:r w:rsidR="007E3835">
        <w:rPr>
          <w:rFonts w:cstheme="minorHAnsi"/>
          <w:b/>
          <w:i/>
        </w:rPr>
        <w:t>-1</w:t>
      </w:r>
      <w:r w:rsidR="007C559D" w:rsidRPr="00F61CAC">
        <w:rPr>
          <w:rFonts w:cstheme="minorHAnsi"/>
          <w:b/>
          <w:i/>
        </w:rPr>
        <w:t xml:space="preserve"> </w:t>
      </w:r>
      <w:r w:rsidR="005C0CAF">
        <w:rPr>
          <w:rFonts w:cstheme="minorHAnsi"/>
          <w:b/>
          <w:i/>
        </w:rPr>
        <w:t>&amp; BEN-2 are</w:t>
      </w:r>
      <w:r w:rsidRPr="00F61CAC">
        <w:rPr>
          <w:rFonts w:cstheme="minorHAnsi"/>
          <w:b/>
          <w:i/>
        </w:rPr>
        <w:t xml:space="preserve"> </w:t>
      </w:r>
      <w:r w:rsidR="007C559D" w:rsidRPr="00F61CAC">
        <w:rPr>
          <w:rFonts w:cstheme="minorHAnsi"/>
          <w:b/>
          <w:i/>
        </w:rPr>
        <w:t xml:space="preserve">not available on MCA </w:t>
      </w:r>
      <w:r w:rsidR="007E3835">
        <w:rPr>
          <w:rFonts w:cstheme="minorHAnsi"/>
          <w:b/>
          <w:i/>
        </w:rPr>
        <w:t>Portal</w:t>
      </w:r>
      <w:r w:rsidRPr="00F61CAC">
        <w:rPr>
          <w:rFonts w:cstheme="minorHAnsi"/>
          <w:b/>
          <w:i/>
        </w:rPr>
        <w:t xml:space="preserve"> for filing with ROC</w:t>
      </w:r>
      <w:r w:rsidR="00DB7D54">
        <w:rPr>
          <w:rFonts w:cstheme="minorHAnsi"/>
          <w:b/>
          <w:i/>
        </w:rPr>
        <w:t>.</w:t>
      </w:r>
    </w:p>
    <w:sectPr w:rsidR="007C559D" w:rsidSect="00844463">
      <w:pgSz w:w="12240" w:h="15840"/>
      <w:pgMar w:top="284" w:right="1440" w:bottom="426" w:left="1440" w:header="0" w:footer="3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47D" w:rsidRDefault="000D247D" w:rsidP="00C6081A">
      <w:pPr>
        <w:spacing w:after="0" w:line="240" w:lineRule="auto"/>
      </w:pPr>
      <w:r>
        <w:separator/>
      </w:r>
    </w:p>
  </w:endnote>
  <w:endnote w:type="continuationSeparator" w:id="1">
    <w:p w:rsidR="000D247D" w:rsidRDefault="000D247D" w:rsidP="00C60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47D" w:rsidRDefault="000D247D" w:rsidP="00C6081A">
      <w:pPr>
        <w:spacing w:after="0" w:line="240" w:lineRule="auto"/>
      </w:pPr>
      <w:r>
        <w:separator/>
      </w:r>
    </w:p>
  </w:footnote>
  <w:footnote w:type="continuationSeparator" w:id="1">
    <w:p w:rsidR="000D247D" w:rsidRDefault="000D247D" w:rsidP="00C60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4D0A"/>
    <w:multiLevelType w:val="hybridMultilevel"/>
    <w:tmpl w:val="2B84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63745"/>
    <w:multiLevelType w:val="hybridMultilevel"/>
    <w:tmpl w:val="353A7D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F067FAA"/>
    <w:multiLevelType w:val="hybridMultilevel"/>
    <w:tmpl w:val="E42026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06B2C29"/>
    <w:multiLevelType w:val="hybridMultilevel"/>
    <w:tmpl w:val="E466CFA6"/>
    <w:lvl w:ilvl="0" w:tplc="A8C876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A314B6C"/>
    <w:multiLevelType w:val="hybridMultilevel"/>
    <w:tmpl w:val="E466CFA6"/>
    <w:lvl w:ilvl="0" w:tplc="A8C876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0A7193A"/>
    <w:multiLevelType w:val="hybridMultilevel"/>
    <w:tmpl w:val="9D86C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B15320"/>
    <w:multiLevelType w:val="hybridMultilevel"/>
    <w:tmpl w:val="FBD2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footnotePr>
    <w:footnote w:id="0"/>
    <w:footnote w:id="1"/>
  </w:footnotePr>
  <w:endnotePr>
    <w:endnote w:id="0"/>
    <w:endnote w:id="1"/>
  </w:endnotePr>
  <w:compat/>
  <w:rsids>
    <w:rsidRoot w:val="00C6081A"/>
    <w:rsid w:val="00097F47"/>
    <w:rsid w:val="000D247D"/>
    <w:rsid w:val="000F2755"/>
    <w:rsid w:val="00131581"/>
    <w:rsid w:val="001D7AA2"/>
    <w:rsid w:val="002008F4"/>
    <w:rsid w:val="00255ED2"/>
    <w:rsid w:val="00262F83"/>
    <w:rsid w:val="003410E1"/>
    <w:rsid w:val="003C33ED"/>
    <w:rsid w:val="004D2E16"/>
    <w:rsid w:val="005632FA"/>
    <w:rsid w:val="0059352D"/>
    <w:rsid w:val="005C0CAF"/>
    <w:rsid w:val="006055C4"/>
    <w:rsid w:val="006468C4"/>
    <w:rsid w:val="006B4CD6"/>
    <w:rsid w:val="006F3DA2"/>
    <w:rsid w:val="00717558"/>
    <w:rsid w:val="007C559D"/>
    <w:rsid w:val="007E3835"/>
    <w:rsid w:val="00844463"/>
    <w:rsid w:val="00934003"/>
    <w:rsid w:val="00936560"/>
    <w:rsid w:val="009A1489"/>
    <w:rsid w:val="00A04FD8"/>
    <w:rsid w:val="00A8653C"/>
    <w:rsid w:val="00AB052A"/>
    <w:rsid w:val="00B614BC"/>
    <w:rsid w:val="00BD5F80"/>
    <w:rsid w:val="00C44A04"/>
    <w:rsid w:val="00C6081A"/>
    <w:rsid w:val="00C8555B"/>
    <w:rsid w:val="00D47A57"/>
    <w:rsid w:val="00D51273"/>
    <w:rsid w:val="00DB7D54"/>
    <w:rsid w:val="00DC3AE2"/>
    <w:rsid w:val="00E04EBF"/>
    <w:rsid w:val="00E24179"/>
    <w:rsid w:val="00F55642"/>
    <w:rsid w:val="00F61CAC"/>
    <w:rsid w:val="00F96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08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81A"/>
  </w:style>
  <w:style w:type="paragraph" w:styleId="Footer">
    <w:name w:val="footer"/>
    <w:basedOn w:val="Normal"/>
    <w:link w:val="FooterChar"/>
    <w:uiPriority w:val="99"/>
    <w:semiHidden/>
    <w:unhideWhenUsed/>
    <w:rsid w:val="00C608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081A"/>
  </w:style>
  <w:style w:type="paragraph" w:styleId="ListParagraph">
    <w:name w:val="List Paragraph"/>
    <w:basedOn w:val="Normal"/>
    <w:uiPriority w:val="34"/>
    <w:qFormat/>
    <w:rsid w:val="00C6081A"/>
    <w:pPr>
      <w:ind w:left="720"/>
      <w:contextualSpacing/>
    </w:pPr>
  </w:style>
  <w:style w:type="character" w:styleId="Hyperlink">
    <w:name w:val="Hyperlink"/>
    <w:basedOn w:val="DefaultParagraphFont"/>
    <w:uiPriority w:val="99"/>
    <w:unhideWhenUsed/>
    <w:rsid w:val="008444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a.gov.in/Ministry/pdf/CompaniesOwnersAmendmentRules_080202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110D-CAA3-45FC-BA2B-BBFE7676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shipra khitha</dc:creator>
  <cp:lastModifiedBy>riya jain</cp:lastModifiedBy>
  <cp:revision>33</cp:revision>
  <dcterms:created xsi:type="dcterms:W3CDTF">2019-03-05T06:29:00Z</dcterms:created>
  <dcterms:modified xsi:type="dcterms:W3CDTF">2019-03-05T10:39:00Z</dcterms:modified>
</cp:coreProperties>
</file>